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0" w:type="dxa"/>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firstRow="1" w:lastRow="0" w:firstColumn="1" w:lastColumn="0" w:noHBand="0" w:noVBand="1"/>
      </w:tblPr>
      <w:tblGrid>
        <w:gridCol w:w="1500"/>
        <w:gridCol w:w="10500"/>
      </w:tblGrid>
      <w:tr w:rsidR="00F43E03" w:rsidRPr="00F43E03" w:rsidTr="00F43E03">
        <w:trPr>
          <w:tblCellSpacing w:w="0" w:type="dxa"/>
          <w:jc w:val="center"/>
        </w:trPr>
        <w:tc>
          <w:tcPr>
            <w:tcW w:w="1500" w:type="dxa"/>
            <w:tcBorders>
              <w:top w:val="nil"/>
              <w:left w:val="nil"/>
              <w:bottom w:val="single" w:sz="6" w:space="0" w:color="E8E8E8"/>
              <w:right w:val="nil"/>
            </w:tcBorders>
            <w:shd w:val="clear" w:color="auto" w:fill="FFFFF0"/>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Bid Type:</w:t>
            </w:r>
          </w:p>
        </w:tc>
        <w:tc>
          <w:tcPr>
            <w:tcW w:w="10500" w:type="dxa"/>
            <w:tcBorders>
              <w:top w:val="nil"/>
              <w:left w:val="single" w:sz="6" w:space="0" w:color="E8E8E8"/>
              <w:bottom w:val="single" w:sz="6" w:space="0" w:color="E8E8E8"/>
              <w:right w:val="nil"/>
            </w:tcBorders>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Architects and Engineers</w:t>
            </w:r>
          </w:p>
        </w:tc>
      </w:tr>
      <w:tr w:rsidR="00F43E03" w:rsidRPr="00F43E03" w:rsidTr="00F43E03">
        <w:trPr>
          <w:tblCellSpacing w:w="0" w:type="dxa"/>
          <w:jc w:val="center"/>
        </w:trPr>
        <w:tc>
          <w:tcPr>
            <w:tcW w:w="1500" w:type="dxa"/>
            <w:tcBorders>
              <w:top w:val="nil"/>
              <w:left w:val="nil"/>
              <w:bottom w:val="single" w:sz="6" w:space="0" w:color="E8E8E8"/>
              <w:right w:val="nil"/>
            </w:tcBorders>
            <w:shd w:val="clear" w:color="auto" w:fill="FFFFF0"/>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Bid Number:</w:t>
            </w:r>
          </w:p>
        </w:tc>
        <w:tc>
          <w:tcPr>
            <w:tcW w:w="10500" w:type="dxa"/>
            <w:tcBorders>
              <w:top w:val="nil"/>
              <w:left w:val="single" w:sz="6" w:space="0" w:color="E8E8E8"/>
              <w:bottom w:val="single" w:sz="6" w:space="0" w:color="E8E8E8"/>
              <w:right w:val="nil"/>
            </w:tcBorders>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RFP #2013-006</w:t>
            </w:r>
          </w:p>
        </w:tc>
      </w:tr>
    </w:tbl>
    <w:p w:rsidR="00F43E03" w:rsidRPr="00F43E03" w:rsidRDefault="00F43E03" w:rsidP="00F43E03">
      <w:pPr>
        <w:shd w:val="clear" w:color="auto" w:fill="FFFFFF"/>
        <w:jc w:val="center"/>
        <w:rPr>
          <w:rFonts w:ascii="Helvetica" w:eastAsia="Times New Roman" w:hAnsi="Helvetica" w:cs="Helvetica"/>
          <w:vanish/>
          <w:color w:val="000000"/>
        </w:rPr>
      </w:pPr>
    </w:p>
    <w:tbl>
      <w:tblPr>
        <w:tblW w:w="12000" w:type="dxa"/>
        <w:jc w:val="center"/>
        <w:tblCellSpacing w:w="0" w:type="dxa"/>
        <w:tblBorders>
          <w:top w:val="single" w:sz="6" w:space="0" w:color="E8E8E8"/>
          <w:left w:val="single" w:sz="6" w:space="0" w:color="E8E8E8"/>
          <w:bottom w:val="single" w:sz="6" w:space="0" w:color="E8E8E8"/>
          <w:right w:val="single" w:sz="6" w:space="0" w:color="E8E8E8"/>
        </w:tblBorders>
        <w:tblCellMar>
          <w:left w:w="0" w:type="dxa"/>
          <w:right w:w="0" w:type="dxa"/>
        </w:tblCellMar>
        <w:tblLook w:val="04A0" w:firstRow="1" w:lastRow="0" w:firstColumn="1" w:lastColumn="0" w:noHBand="0" w:noVBand="1"/>
      </w:tblPr>
      <w:tblGrid>
        <w:gridCol w:w="1500"/>
        <w:gridCol w:w="10500"/>
      </w:tblGrid>
      <w:tr w:rsidR="00F43E03" w:rsidRPr="00F43E03" w:rsidTr="00F43E03">
        <w:trPr>
          <w:tblCellSpacing w:w="0" w:type="dxa"/>
          <w:jc w:val="center"/>
        </w:trPr>
        <w:tc>
          <w:tcPr>
            <w:tcW w:w="1500" w:type="dxa"/>
            <w:tcBorders>
              <w:top w:val="nil"/>
              <w:left w:val="nil"/>
              <w:bottom w:val="single" w:sz="6" w:space="0" w:color="E8E8E8"/>
              <w:right w:val="nil"/>
            </w:tcBorders>
            <w:shd w:val="clear" w:color="auto" w:fill="FFFFF0"/>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Agency:</w:t>
            </w:r>
          </w:p>
        </w:tc>
        <w:tc>
          <w:tcPr>
            <w:tcW w:w="10500" w:type="dxa"/>
            <w:tcBorders>
              <w:top w:val="nil"/>
              <w:left w:val="single" w:sz="6" w:space="0" w:color="E8E8E8"/>
              <w:bottom w:val="single" w:sz="6" w:space="0" w:color="E8E8E8"/>
              <w:right w:val="nil"/>
            </w:tcBorders>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GSA Earthquake Safety Implementation Program</w:t>
            </w:r>
          </w:p>
        </w:tc>
      </w:tr>
      <w:tr w:rsidR="00F43E03" w:rsidRPr="00F43E03" w:rsidTr="00F43E03">
        <w:trPr>
          <w:tblCellSpacing w:w="0" w:type="dxa"/>
          <w:jc w:val="center"/>
        </w:trPr>
        <w:tc>
          <w:tcPr>
            <w:tcW w:w="1500" w:type="dxa"/>
            <w:tcBorders>
              <w:top w:val="nil"/>
              <w:left w:val="nil"/>
              <w:bottom w:val="single" w:sz="6" w:space="0" w:color="E8E8E8"/>
              <w:right w:val="nil"/>
            </w:tcBorders>
            <w:shd w:val="clear" w:color="auto" w:fill="FFFFF0"/>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Bid Title:</w:t>
            </w:r>
          </w:p>
        </w:tc>
        <w:tc>
          <w:tcPr>
            <w:tcW w:w="10500" w:type="dxa"/>
            <w:tcBorders>
              <w:top w:val="nil"/>
              <w:left w:val="single" w:sz="6" w:space="0" w:color="E8E8E8"/>
              <w:bottom w:val="single" w:sz="6" w:space="0" w:color="E8E8E8"/>
              <w:right w:val="nil"/>
            </w:tcBorders>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Seismic Safety Engineering and Consulting Services</w:t>
            </w:r>
          </w:p>
        </w:tc>
      </w:tr>
      <w:tr w:rsidR="00F43E03" w:rsidRPr="00F43E03" w:rsidTr="00F43E03">
        <w:trPr>
          <w:tblCellSpacing w:w="0" w:type="dxa"/>
          <w:jc w:val="center"/>
        </w:trPr>
        <w:tc>
          <w:tcPr>
            <w:tcW w:w="1500" w:type="dxa"/>
            <w:tcBorders>
              <w:top w:val="nil"/>
              <w:left w:val="nil"/>
              <w:bottom w:val="single" w:sz="6" w:space="0" w:color="E8E8E8"/>
              <w:right w:val="nil"/>
            </w:tcBorders>
            <w:shd w:val="clear" w:color="auto" w:fill="FFFFF0"/>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Bid Due:</w:t>
            </w:r>
          </w:p>
        </w:tc>
        <w:tc>
          <w:tcPr>
            <w:tcW w:w="10500" w:type="dxa"/>
            <w:tcBorders>
              <w:top w:val="nil"/>
              <w:left w:val="single" w:sz="6" w:space="0" w:color="E8E8E8"/>
              <w:bottom w:val="single" w:sz="6" w:space="0" w:color="E8E8E8"/>
              <w:right w:val="nil"/>
            </w:tcBorders>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9/6/2013</w:t>
            </w:r>
          </w:p>
        </w:tc>
      </w:tr>
      <w:tr w:rsidR="00F43E03" w:rsidRPr="00F43E03" w:rsidTr="00F43E03">
        <w:trPr>
          <w:tblCellSpacing w:w="0" w:type="dxa"/>
          <w:jc w:val="center"/>
        </w:trPr>
        <w:tc>
          <w:tcPr>
            <w:tcW w:w="1500" w:type="dxa"/>
            <w:tcBorders>
              <w:top w:val="nil"/>
              <w:left w:val="nil"/>
              <w:bottom w:val="single" w:sz="6" w:space="0" w:color="E8E8E8"/>
              <w:right w:val="nil"/>
            </w:tcBorders>
            <w:shd w:val="clear" w:color="auto" w:fill="FFFFF0"/>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Time Due:</w:t>
            </w:r>
          </w:p>
        </w:tc>
        <w:tc>
          <w:tcPr>
            <w:tcW w:w="10500" w:type="dxa"/>
            <w:tcBorders>
              <w:top w:val="nil"/>
              <w:left w:val="single" w:sz="6" w:space="0" w:color="E8E8E8"/>
              <w:bottom w:val="single" w:sz="6" w:space="0" w:color="E8E8E8"/>
              <w:right w:val="nil"/>
            </w:tcBorders>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4:00 pm</w:t>
            </w:r>
          </w:p>
        </w:tc>
      </w:tr>
      <w:tr w:rsidR="00F43E03" w:rsidRPr="00F43E03" w:rsidTr="00F43E03">
        <w:trPr>
          <w:tblCellSpacing w:w="0" w:type="dxa"/>
          <w:jc w:val="center"/>
        </w:trPr>
        <w:tc>
          <w:tcPr>
            <w:tcW w:w="1500" w:type="dxa"/>
            <w:tcBorders>
              <w:top w:val="nil"/>
              <w:left w:val="nil"/>
              <w:bottom w:val="single" w:sz="6" w:space="0" w:color="E8E8E8"/>
              <w:right w:val="nil"/>
            </w:tcBorders>
            <w:shd w:val="clear" w:color="auto" w:fill="FFFFF0"/>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Duration:</w:t>
            </w:r>
          </w:p>
        </w:tc>
        <w:tc>
          <w:tcPr>
            <w:tcW w:w="10500" w:type="dxa"/>
            <w:tcBorders>
              <w:top w:val="nil"/>
              <w:left w:val="single" w:sz="6" w:space="0" w:color="E8E8E8"/>
              <w:bottom w:val="single" w:sz="6" w:space="0" w:color="E8E8E8"/>
              <w:right w:val="nil"/>
            </w:tcBorders>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5 years</w:t>
            </w:r>
          </w:p>
        </w:tc>
      </w:tr>
      <w:tr w:rsidR="00F43E03" w:rsidRPr="00F43E03" w:rsidTr="00F43E03">
        <w:trPr>
          <w:tblCellSpacing w:w="0" w:type="dxa"/>
          <w:jc w:val="center"/>
        </w:trPr>
        <w:tc>
          <w:tcPr>
            <w:tcW w:w="1500" w:type="dxa"/>
            <w:tcBorders>
              <w:top w:val="nil"/>
              <w:left w:val="nil"/>
              <w:bottom w:val="single" w:sz="6" w:space="0" w:color="E8E8E8"/>
              <w:right w:val="nil"/>
            </w:tcBorders>
            <w:shd w:val="clear" w:color="auto" w:fill="FFFFF0"/>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Estimated Cost:</w:t>
            </w:r>
          </w:p>
        </w:tc>
        <w:tc>
          <w:tcPr>
            <w:tcW w:w="10500" w:type="dxa"/>
            <w:tcBorders>
              <w:top w:val="nil"/>
              <w:left w:val="single" w:sz="6" w:space="0" w:color="E8E8E8"/>
              <w:bottom w:val="single" w:sz="6" w:space="0" w:color="E8E8E8"/>
              <w:right w:val="nil"/>
            </w:tcBorders>
            <w:vAlign w:val="center"/>
            <w:hideMark/>
          </w:tcPr>
          <w:p w:rsidR="00F43E03" w:rsidRPr="00F43E03" w:rsidRDefault="00F43E03" w:rsidP="00F43E03">
            <w:pPr>
              <w:jc w:val="center"/>
              <w:rPr>
                <w:rFonts w:ascii="Helvetica" w:eastAsia="Times New Roman" w:hAnsi="Helvetica" w:cs="Helvetica"/>
                <w:sz w:val="24"/>
                <w:szCs w:val="24"/>
              </w:rPr>
            </w:pPr>
            <w:r w:rsidRPr="00F43E03">
              <w:rPr>
                <w:rFonts w:ascii="Helvetica" w:eastAsia="Times New Roman" w:hAnsi="Helvetica" w:cs="Helvetica"/>
              </w:rPr>
              <w:t>$400,000</w:t>
            </w:r>
          </w:p>
        </w:tc>
      </w:tr>
    </w:tbl>
    <w:p w:rsidR="00F43E03" w:rsidRDefault="00F43E03" w:rsidP="004219B5">
      <w:pPr>
        <w:rPr>
          <w:rFonts w:ascii="Helvetica" w:hAnsi="Helvetica" w:cs="Helvetica"/>
        </w:rPr>
      </w:pPr>
    </w:p>
    <w:p w:rsidR="00F43E03" w:rsidRDefault="00F43E03" w:rsidP="004219B5">
      <w:pPr>
        <w:rPr>
          <w:rFonts w:ascii="Helvetica" w:hAnsi="Helvetica" w:cs="Helvetica"/>
        </w:rPr>
      </w:pPr>
      <w:r>
        <w:rPr>
          <w:rFonts w:ascii="Helvetica" w:hAnsi="Helvetica" w:cs="Helvetica"/>
        </w:rPr>
        <w:t>Pre-Bid Conference Questions from attendants:</w:t>
      </w:r>
      <w:bookmarkStart w:id="0" w:name="_GoBack"/>
      <w:bookmarkEnd w:id="0"/>
      <w:r>
        <w:rPr>
          <w:rFonts w:ascii="Helvetica" w:hAnsi="Helvetica" w:cs="Helvetica"/>
        </w:rPr>
        <w:t xml:space="preserve"> </w:t>
      </w:r>
    </w:p>
    <w:p w:rsidR="00F43E03" w:rsidRDefault="00F43E03" w:rsidP="004219B5">
      <w:pPr>
        <w:rPr>
          <w:rFonts w:ascii="Helvetica" w:hAnsi="Helvetica" w:cs="Helvetica"/>
        </w:rPr>
      </w:pPr>
    </w:p>
    <w:p w:rsidR="004219B5" w:rsidRPr="004219B5" w:rsidRDefault="004219B5" w:rsidP="004219B5">
      <w:pPr>
        <w:rPr>
          <w:rFonts w:ascii="Helvetica" w:hAnsi="Helvetica" w:cs="Helvetica"/>
          <w:color w:val="004080"/>
        </w:rPr>
      </w:pPr>
      <w:r w:rsidRPr="004219B5">
        <w:rPr>
          <w:rFonts w:ascii="Helvetica" w:hAnsi="Helvetica" w:cs="Helvetica"/>
        </w:rPr>
        <w:t xml:space="preserve">Task A.1.d – Is the training specific to the structural systems only in the RFP scope (i.e. wood frame residential, </w:t>
      </w:r>
      <w:proofErr w:type="spellStart"/>
      <w:r w:rsidRPr="004219B5">
        <w:rPr>
          <w:rFonts w:ascii="Helvetica" w:hAnsi="Helvetica" w:cs="Helvetica"/>
        </w:rPr>
        <w:t>nonductile</w:t>
      </w:r>
      <w:proofErr w:type="spellEnd"/>
      <w:r w:rsidRPr="004219B5">
        <w:rPr>
          <w:rFonts w:ascii="Helvetica" w:hAnsi="Helvetica" w:cs="Helvetica"/>
        </w:rPr>
        <w:t xml:space="preserve"> concrete, and tilt-up) or general retrofit techniques?</w:t>
      </w:r>
      <w:r w:rsidRPr="004219B5">
        <w:rPr>
          <w:rFonts w:ascii="Helvetica" w:hAnsi="Helvetica" w:cs="Helvetica"/>
          <w:color w:val="004080"/>
        </w:rPr>
        <w:t xml:space="preserve"> </w:t>
      </w:r>
    </w:p>
    <w:p w:rsidR="004219B5" w:rsidRPr="004219B5" w:rsidRDefault="004219B5" w:rsidP="004219B5">
      <w:pPr>
        <w:pStyle w:val="ListParagraph"/>
        <w:ind w:left="825"/>
        <w:rPr>
          <w:rFonts w:ascii="Helvetica" w:hAnsi="Helvetica" w:cs="Helvetica"/>
          <w:color w:val="FF0000"/>
        </w:rPr>
      </w:pPr>
    </w:p>
    <w:p w:rsidR="004219B5" w:rsidRPr="004219B5" w:rsidRDefault="004219B5" w:rsidP="004219B5">
      <w:pPr>
        <w:rPr>
          <w:rFonts w:ascii="Helvetica" w:hAnsi="Helvetica" w:cs="Helvetica"/>
          <w:color w:val="FF0000"/>
        </w:rPr>
      </w:pPr>
      <w:r w:rsidRPr="004219B5">
        <w:rPr>
          <w:rFonts w:ascii="Helvetica" w:hAnsi="Helvetica" w:cs="Helvetica"/>
          <w:color w:val="FF0000"/>
        </w:rPr>
        <w:t xml:space="preserve">Yes, however this may require assistance in the organization and outreach centered </w:t>
      </w:r>
      <w:proofErr w:type="gramStart"/>
      <w:r w:rsidRPr="004219B5">
        <w:rPr>
          <w:rFonts w:ascii="Helvetica" w:hAnsi="Helvetica" w:cs="Helvetica"/>
          <w:color w:val="FF0000"/>
        </w:rPr>
        <w:t>around</w:t>
      </w:r>
      <w:proofErr w:type="gramEnd"/>
      <w:r w:rsidRPr="004219B5">
        <w:rPr>
          <w:rFonts w:ascii="Helvetica" w:hAnsi="Helvetica" w:cs="Helvetica"/>
          <w:color w:val="FF0000"/>
        </w:rPr>
        <w:t xml:space="preserve"> the specific topic</w:t>
      </w:r>
    </w:p>
    <w:p w:rsidR="004219B5" w:rsidRPr="004219B5" w:rsidRDefault="004219B5" w:rsidP="004219B5">
      <w:pPr>
        <w:pStyle w:val="ListParagraph"/>
        <w:ind w:left="825"/>
        <w:rPr>
          <w:rFonts w:ascii="Helvetica" w:hAnsi="Helvetica" w:cs="Helvetica"/>
          <w:color w:val="FF0000"/>
        </w:rPr>
      </w:pPr>
      <w:r w:rsidRPr="004219B5">
        <w:rPr>
          <w:rFonts w:ascii="Helvetica" w:hAnsi="Helvetica" w:cs="Helvetica"/>
          <w:color w:val="FF0000"/>
        </w:rPr>
        <w:t xml:space="preserve">. </w:t>
      </w:r>
    </w:p>
    <w:p w:rsidR="004219B5" w:rsidRPr="004219B5" w:rsidRDefault="004219B5" w:rsidP="004219B5">
      <w:pPr>
        <w:rPr>
          <w:rFonts w:ascii="Helvetica" w:hAnsi="Helvetica" w:cs="Helvetica"/>
          <w:color w:val="004080"/>
        </w:rPr>
      </w:pPr>
      <w:r w:rsidRPr="004219B5">
        <w:rPr>
          <w:rFonts w:ascii="Helvetica" w:hAnsi="Helvetica" w:cs="Helvetica"/>
        </w:rPr>
        <w:t>Task A.2.b – Please confirm that this is a general façade ordinance and not solely for earthquake safety.</w:t>
      </w:r>
      <w:r w:rsidRPr="004219B5">
        <w:rPr>
          <w:rFonts w:ascii="Helvetica" w:hAnsi="Helvetica" w:cs="Helvetica"/>
          <w:color w:val="004080"/>
        </w:rPr>
        <w:t xml:space="preserve"> </w:t>
      </w:r>
    </w:p>
    <w:p w:rsidR="004219B5" w:rsidRPr="004219B5" w:rsidRDefault="004219B5" w:rsidP="004219B5">
      <w:pPr>
        <w:pStyle w:val="ListParagraph"/>
        <w:ind w:left="825"/>
        <w:rPr>
          <w:rFonts w:ascii="Helvetica" w:hAnsi="Helvetica" w:cs="Helvetica"/>
          <w:color w:val="004080"/>
        </w:rPr>
      </w:pPr>
    </w:p>
    <w:p w:rsidR="004219B5" w:rsidRPr="004219B5" w:rsidRDefault="004219B5" w:rsidP="004219B5">
      <w:pPr>
        <w:rPr>
          <w:rFonts w:ascii="Helvetica" w:hAnsi="Helvetica" w:cs="Helvetica"/>
          <w:color w:val="FF0000"/>
        </w:rPr>
      </w:pPr>
      <w:proofErr w:type="gramStart"/>
      <w:r w:rsidRPr="004219B5">
        <w:rPr>
          <w:rFonts w:ascii="Helvetica" w:hAnsi="Helvetica" w:cs="Helvetica"/>
          <w:color w:val="FF0000"/>
        </w:rPr>
        <w:t>Confirmed.</w:t>
      </w:r>
      <w:proofErr w:type="gramEnd"/>
      <w:r w:rsidRPr="004219B5">
        <w:rPr>
          <w:rFonts w:ascii="Helvetica" w:hAnsi="Helvetica" w:cs="Helvetica"/>
          <w:color w:val="FF0000"/>
        </w:rPr>
        <w:t xml:space="preserve"> This is a general ordinance that will have a post seismic event component for mandatory inspection.  </w:t>
      </w:r>
    </w:p>
    <w:p w:rsidR="004219B5" w:rsidRPr="004219B5" w:rsidRDefault="004219B5" w:rsidP="004219B5">
      <w:pPr>
        <w:rPr>
          <w:rFonts w:ascii="Helvetica" w:hAnsi="Helvetica" w:cs="Helvetica"/>
          <w:color w:val="004080"/>
        </w:rPr>
      </w:pPr>
      <w:r w:rsidRPr="004219B5">
        <w:rPr>
          <w:rFonts w:ascii="Helvetica" w:hAnsi="Helvetica" w:cs="Helvetica"/>
        </w:rPr>
        <w:br/>
        <w:t>Task A.4.f – What is the extent of work that has been done to date on this and where can we find that material so we can base our proposal on what still needs to be done?</w:t>
      </w:r>
      <w:r w:rsidRPr="004219B5">
        <w:rPr>
          <w:rFonts w:ascii="Helvetica" w:hAnsi="Helvetica" w:cs="Helvetica"/>
          <w:color w:val="004080"/>
        </w:rPr>
        <w:t xml:space="preserve"> </w:t>
      </w:r>
    </w:p>
    <w:p w:rsidR="004219B5" w:rsidRPr="004219B5" w:rsidRDefault="004219B5" w:rsidP="004219B5">
      <w:pPr>
        <w:rPr>
          <w:rFonts w:ascii="Helvetica" w:hAnsi="Helvetica" w:cs="Helvetica"/>
          <w:color w:val="004080"/>
        </w:rPr>
      </w:pPr>
    </w:p>
    <w:p w:rsidR="004219B5" w:rsidRDefault="004219B5" w:rsidP="004219B5">
      <w:pPr>
        <w:rPr>
          <w:rFonts w:ascii="Helvetica" w:hAnsi="Helvetica" w:cs="Helvetica"/>
        </w:rPr>
      </w:pPr>
      <w:r w:rsidRPr="004219B5">
        <w:rPr>
          <w:rFonts w:ascii="Helvetica" w:hAnsi="Helvetica" w:cs="Helvetica"/>
          <w:color w:val="FF0000"/>
        </w:rPr>
        <w:t>The most current work is available on our website. Many of the items have ESIP task identifiers associated with their descriptions</w:t>
      </w:r>
      <w:r w:rsidRPr="004219B5">
        <w:rPr>
          <w:rFonts w:ascii="Helvetica" w:hAnsi="Helvetica" w:cs="Helvetica"/>
        </w:rPr>
        <w:t xml:space="preserve"> </w:t>
      </w:r>
      <w:r w:rsidRPr="004219B5">
        <w:rPr>
          <w:rFonts w:ascii="Helvetica" w:hAnsi="Helvetica" w:cs="Helvetica"/>
        </w:rPr>
        <w:br/>
      </w:r>
    </w:p>
    <w:p w:rsidR="004219B5" w:rsidRDefault="004219B5" w:rsidP="004219B5">
      <w:pPr>
        <w:rPr>
          <w:rFonts w:ascii="Helvetica" w:hAnsi="Helvetica" w:cs="Helvetica"/>
          <w:color w:val="004080"/>
        </w:rPr>
      </w:pPr>
      <w:r w:rsidRPr="004219B5">
        <w:rPr>
          <w:rFonts w:ascii="Helvetica" w:hAnsi="Helvetica" w:cs="Helvetica"/>
        </w:rPr>
        <w:t>Task A.5.d – Can you please clarify the scope of the ombudsman services to be provided by the contractor?</w:t>
      </w:r>
      <w:r w:rsidRPr="004219B5">
        <w:rPr>
          <w:rFonts w:ascii="Helvetica" w:hAnsi="Helvetica" w:cs="Helvetica"/>
          <w:color w:val="004080"/>
        </w:rPr>
        <w:t xml:space="preserve"> </w:t>
      </w:r>
    </w:p>
    <w:p w:rsidR="004219B5" w:rsidRDefault="004219B5" w:rsidP="004219B5">
      <w:pPr>
        <w:rPr>
          <w:rFonts w:ascii="Helvetica" w:hAnsi="Helvetica" w:cs="Helvetica"/>
          <w:color w:val="004080"/>
        </w:rPr>
      </w:pPr>
    </w:p>
    <w:p w:rsidR="004219B5" w:rsidRDefault="004219B5" w:rsidP="004219B5">
      <w:pPr>
        <w:rPr>
          <w:rFonts w:ascii="Helvetica" w:hAnsi="Helvetica" w:cs="Helvetica"/>
          <w:color w:val="FF0000"/>
        </w:rPr>
      </w:pPr>
      <w:r w:rsidRPr="004219B5">
        <w:rPr>
          <w:rFonts w:ascii="Helvetica" w:hAnsi="Helvetica" w:cs="Helvetica"/>
          <w:color w:val="FF0000"/>
        </w:rPr>
        <w:t xml:space="preserve">The ombudsperson services proposed would be accomplished by a full time city employee (likely employed by the Department of Building Inspection). This task would be to assist ESIP staff in supporting this person with their tasks. This should be considered a very minor task compared to the other tasks listed in the scope of work. </w:t>
      </w:r>
    </w:p>
    <w:p w:rsidR="004219B5" w:rsidRDefault="004219B5" w:rsidP="004219B5">
      <w:pPr>
        <w:rPr>
          <w:rFonts w:ascii="Helvetica" w:hAnsi="Helvetica" w:cs="Helvetica"/>
        </w:rPr>
      </w:pPr>
      <w:r w:rsidRPr="004219B5">
        <w:rPr>
          <w:rFonts w:ascii="Helvetica" w:hAnsi="Helvetica" w:cs="Helvetica"/>
        </w:rPr>
        <w:br/>
        <w:t xml:space="preserve">Task A.4.c – There are three repair and retrofit administrative bulletins already developed related to soft story buildings and concrete buildings. What does “complete development” mean? </w:t>
      </w:r>
    </w:p>
    <w:p w:rsidR="004219B5" w:rsidRDefault="004219B5" w:rsidP="004219B5">
      <w:pPr>
        <w:rPr>
          <w:rFonts w:ascii="Helvetica" w:hAnsi="Helvetica" w:cs="Helvetica"/>
          <w:color w:val="FF0000"/>
        </w:rPr>
      </w:pPr>
      <w:r w:rsidRPr="004219B5">
        <w:rPr>
          <w:rFonts w:ascii="Helvetica" w:hAnsi="Helvetica" w:cs="Helvetica"/>
        </w:rPr>
        <w:br/>
      </w:r>
      <w:r w:rsidRPr="004219B5">
        <w:rPr>
          <w:rFonts w:ascii="Helvetica" w:hAnsi="Helvetica" w:cs="Helvetica"/>
          <w:color w:val="FF0000"/>
        </w:rPr>
        <w:t xml:space="preserve">The administrative bulletins required for the soft story retrofit ordinance have been complete. Additional bulletins may be required as a result of newly developed programs and would need some minor technical support. </w:t>
      </w:r>
    </w:p>
    <w:p w:rsidR="004219B5" w:rsidRDefault="004219B5" w:rsidP="004219B5">
      <w:pPr>
        <w:rPr>
          <w:rFonts w:ascii="Helvetica" w:hAnsi="Helvetica" w:cs="Helvetica"/>
          <w:color w:val="1F497D"/>
        </w:rPr>
      </w:pPr>
    </w:p>
    <w:p w:rsidR="004219B5" w:rsidRDefault="004219B5" w:rsidP="004219B5">
      <w:pPr>
        <w:rPr>
          <w:rFonts w:ascii="Helvetica" w:hAnsi="Helvetica" w:cs="Helvetica"/>
        </w:rPr>
      </w:pPr>
      <w:r w:rsidRPr="004219B5">
        <w:rPr>
          <w:rFonts w:ascii="Helvetica" w:hAnsi="Helvetica" w:cs="Helvetica"/>
        </w:rPr>
        <w:t xml:space="preserve">In accordance with RFP section VI.B, I am submitting this question as a follow-up to the question you answered below. You noted that a bid over $400K could receive a lower score when the "total fee for ... the Scope of Work" (section III.C.9.a) is evaluated for "reasonableness and competitiveness" (section IV.B.1.c). But at the pre-bid meeting you also mentioned that </w:t>
      </w:r>
      <w:r w:rsidRPr="004219B5">
        <w:rPr>
          <w:rFonts w:ascii="Helvetica" w:hAnsi="Helvetica" w:cs="Helvetica"/>
        </w:rPr>
        <w:lastRenderedPageBreak/>
        <w:t xml:space="preserve">ESIP is pursuing additional funds that might become available during the five-year project period. If additional funds do become available, might they be applied to this RFP's Scope of Work, or will they necessarily be allocated to different, additional scope items? </w:t>
      </w:r>
      <w:r w:rsidRPr="004219B5">
        <w:rPr>
          <w:rFonts w:ascii="Helvetica" w:hAnsi="Helvetica" w:cs="Helvetica"/>
        </w:rPr>
        <w:br/>
      </w:r>
    </w:p>
    <w:p w:rsidR="005065EC" w:rsidRPr="004219B5" w:rsidRDefault="004219B5" w:rsidP="004219B5">
      <w:pPr>
        <w:rPr>
          <w:rFonts w:ascii="Helvetica" w:hAnsi="Helvetica" w:cs="Helvetica"/>
          <w:color w:val="FF0000"/>
        </w:rPr>
      </w:pPr>
      <w:r w:rsidRPr="004219B5">
        <w:rPr>
          <w:rFonts w:ascii="Helvetica" w:hAnsi="Helvetica" w:cs="Helvetica"/>
          <w:color w:val="FF0000"/>
        </w:rPr>
        <w:t>Your question refers to events that are uncertain at this time. ESIP intends to award</w:t>
      </w:r>
      <w:r w:rsidR="00F52A8B">
        <w:rPr>
          <w:rFonts w:ascii="Helvetica" w:hAnsi="Helvetica" w:cs="Helvetica"/>
          <w:color w:val="FF0000"/>
        </w:rPr>
        <w:t xml:space="preserve"> a contract that will have </w:t>
      </w:r>
      <w:r w:rsidRPr="004219B5">
        <w:rPr>
          <w:rFonts w:ascii="Helvetica" w:hAnsi="Helvetica" w:cs="Helvetica"/>
          <w:color w:val="FF0000"/>
        </w:rPr>
        <w:t>around a $400,000.00 value and a five year timespan. These are estimates given to aid proposers in making their bids, not to give exact amounts. If additional funds do become available to ESIP, we will allocate those funds as we see fit. If we allocate those funds to the contract currently being procured, then it would be within the scope of this RFP. If the funds are directed elsewhere, the contract would be the result of a different procurement process. Once again, the allocation of future funds is an uncertain event. You are encouraged to submit your most competitive proposal for the current RFP specifications without regard to the possibility of addit</w:t>
      </w:r>
      <w:r>
        <w:rPr>
          <w:rFonts w:ascii="Helvetica" w:hAnsi="Helvetica" w:cs="Helvetica"/>
          <w:color w:val="FF0000"/>
        </w:rPr>
        <w:t>ional funds becoming available.</w:t>
      </w:r>
    </w:p>
    <w:sectPr w:rsidR="005065EC" w:rsidRPr="00421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54F2E"/>
    <w:multiLevelType w:val="hybridMultilevel"/>
    <w:tmpl w:val="359C07A0"/>
    <w:lvl w:ilvl="0" w:tplc="5B2AE754">
      <w:start w:val="1"/>
      <w:numFmt w:val="decimal"/>
      <w:lvlText w:val="%1."/>
      <w:lvlJc w:val="left"/>
      <w:pPr>
        <w:ind w:left="825" w:hanging="465"/>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B5"/>
    <w:rsid w:val="004219B5"/>
    <w:rsid w:val="005065EC"/>
    <w:rsid w:val="00F43E03"/>
    <w:rsid w:val="00F5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B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9B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60631">
      <w:bodyDiv w:val="1"/>
      <w:marLeft w:val="0"/>
      <w:marRight w:val="0"/>
      <w:marTop w:val="0"/>
      <w:marBottom w:val="0"/>
      <w:divBdr>
        <w:top w:val="none" w:sz="0" w:space="0" w:color="auto"/>
        <w:left w:val="none" w:sz="0" w:space="0" w:color="auto"/>
        <w:bottom w:val="none" w:sz="0" w:space="0" w:color="auto"/>
        <w:right w:val="none" w:sz="0" w:space="0" w:color="auto"/>
      </w:divBdr>
    </w:div>
    <w:div w:id="14584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2013-08-16T15:08:00Z</dcterms:created>
  <dcterms:modified xsi:type="dcterms:W3CDTF">2013-08-16T15:15:00Z</dcterms:modified>
</cp:coreProperties>
</file>